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D4BFA">
      <w:pPr>
        <w:pStyle w:val="2"/>
        <w:adjustRightInd w:val="0"/>
        <w:snapToGrid w:val="0"/>
        <w:spacing w:before="0" w:after="0" w:line="240" w:lineRule="auto"/>
        <w:ind w:right="420"/>
        <w:jc w:val="right"/>
        <w:rPr>
          <w:rFonts w:hint="eastAsia" w:ascii="宋体" w:hAnsi="宋体" w:eastAsia="宋体" w:cs="Times New Roman"/>
          <w:sz w:val="40"/>
          <w:szCs w:val="40"/>
        </w:rPr>
      </w:pP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8"/>
          <w:szCs w:val="28"/>
        </w:rPr>
        <w:t>文件编号：</w:t>
      </w:r>
      <w:r>
        <w:rPr>
          <w:rFonts w:ascii="Times New Roman" w:hAnsi="Times New Roman"/>
          <w:b w:val="0"/>
          <w:bCs w:val="0"/>
          <w:sz w:val="28"/>
          <w:szCs w:val="28"/>
        </w:rPr>
        <w:t>LLFJ-SQ-0</w:t>
      </w:r>
      <w:r>
        <w:rPr>
          <w:rFonts w:hint="eastAsia" w:ascii="Times New Roman" w:hAnsi="Times New Roman"/>
          <w:b w:val="0"/>
          <w:bCs w:val="0"/>
          <w:sz w:val="28"/>
          <w:szCs w:val="28"/>
          <w:lang w:val="en-US" w:eastAsia="zh-CN"/>
        </w:rPr>
        <w:t>13</w:t>
      </w:r>
      <w:r>
        <w:rPr>
          <w:rFonts w:ascii="Times New Roman" w:hAnsi="Times New Roman"/>
          <w:b w:val="0"/>
          <w:bCs w:val="0"/>
          <w:sz w:val="28"/>
          <w:szCs w:val="28"/>
        </w:rPr>
        <w:t>-0</w:t>
      </w:r>
      <w:r>
        <w:rPr>
          <w:rFonts w:hint="eastAsia" w:ascii="Times New Roman" w:hAnsi="Times New Roman"/>
          <w:b w:val="0"/>
          <w:bCs w:val="0"/>
          <w:sz w:val="28"/>
          <w:szCs w:val="28"/>
          <w:lang w:val="en-US" w:eastAsia="zh-CN"/>
        </w:rPr>
        <w:t>1</w:t>
      </w:r>
    </w:p>
    <w:p w14:paraId="1325E5E3">
      <w:pPr>
        <w:pStyle w:val="2"/>
        <w:adjustRightInd w:val="0"/>
        <w:snapToGrid w:val="0"/>
        <w:spacing w:before="0" w:after="0" w:line="240" w:lineRule="auto"/>
        <w:ind w:right="420"/>
        <w:jc w:val="center"/>
        <w:rPr>
          <w:rFonts w:hint="eastAsia" w:ascii="Times New Roman" w:hAnsi="Times New Roman" w:eastAsia="宋体" w:cs="Times New Roman"/>
          <w:sz w:val="36"/>
          <w:szCs w:val="36"/>
        </w:rPr>
      </w:pPr>
    </w:p>
    <w:p w14:paraId="3CBFB0BE">
      <w:pPr>
        <w:pStyle w:val="2"/>
        <w:adjustRightInd w:val="0"/>
        <w:snapToGrid w:val="0"/>
        <w:spacing w:before="0" w:after="0" w:line="240" w:lineRule="auto"/>
        <w:ind w:right="420"/>
        <w:jc w:val="center"/>
        <w:rPr>
          <w:rFonts w:hint="eastAsia" w:ascii="Times New Roman" w:hAnsi="Times New Roman" w:eastAsia="宋体" w:cs="Times New Roman"/>
          <w:sz w:val="36"/>
          <w:szCs w:val="36"/>
        </w:rPr>
      </w:pPr>
      <w:r>
        <w:rPr>
          <w:rFonts w:hint="eastAsia" w:ascii="Times New Roman" w:hAnsi="Times New Roman" w:eastAsia="宋体" w:cs="Times New Roman"/>
          <w:sz w:val="36"/>
          <w:szCs w:val="36"/>
        </w:rPr>
        <w:t>可疑</w:t>
      </w:r>
      <w:r>
        <w:rPr>
          <w:rFonts w:hint="eastAsia" w:ascii="Times New Roman" w:hAnsi="Times New Roman" w:eastAsia="宋体" w:cs="Times New Roman"/>
          <w:sz w:val="36"/>
          <w:szCs w:val="36"/>
          <w:lang w:val="en-US" w:eastAsia="zh-CN"/>
        </w:rPr>
        <w:t>且</w:t>
      </w:r>
      <w:r>
        <w:rPr>
          <w:rFonts w:hint="eastAsia" w:ascii="Times New Roman" w:hAnsi="Times New Roman" w:eastAsia="宋体" w:cs="Times New Roman"/>
          <w:sz w:val="36"/>
          <w:szCs w:val="36"/>
        </w:rPr>
        <w:t>非预期严重不良反应（SUSAR）报告表</w:t>
      </w:r>
    </w:p>
    <w:p w14:paraId="556EF75B">
      <w:pPr>
        <w:pStyle w:val="2"/>
        <w:adjustRightInd w:val="0"/>
        <w:snapToGrid w:val="0"/>
        <w:spacing w:before="0" w:after="0" w:line="240" w:lineRule="auto"/>
        <w:ind w:left="420" w:right="420"/>
        <w:jc w:val="center"/>
        <w:rPr>
          <w:rFonts w:hint="eastAsia"/>
        </w:rPr>
      </w:pPr>
      <w:r>
        <w:rPr>
          <w:rFonts w:hint="eastAsia" w:ascii="宋体" w:hAnsi="宋体"/>
          <w:sz w:val="36"/>
          <w:szCs w:val="36"/>
          <w:lang w:val="en-US" w:eastAsia="zh-CN"/>
        </w:rPr>
        <w:t>(药物临床试验)</w:t>
      </w:r>
      <w:bookmarkStart w:id="0" w:name="_GoBack"/>
      <w:bookmarkEnd w:id="0"/>
    </w:p>
    <w:tbl>
      <w:tblPr>
        <w:tblStyle w:val="7"/>
        <w:tblW w:w="5625" w:type="pct"/>
        <w:tblInd w:w="-6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3"/>
        <w:gridCol w:w="60"/>
        <w:gridCol w:w="1638"/>
        <w:gridCol w:w="285"/>
        <w:gridCol w:w="2378"/>
        <w:gridCol w:w="2244"/>
      </w:tblGrid>
      <w:tr w14:paraId="0230C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64A5F9">
            <w:pPr>
              <w:kinsoku w:val="0"/>
              <w:overflowPunct w:val="0"/>
              <w:spacing w:line="360" w:lineRule="auto"/>
              <w:jc w:val="left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基本信息</w:t>
            </w:r>
          </w:p>
        </w:tc>
      </w:tr>
      <w:tr w14:paraId="5E6A9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55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64C882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首次同意伦理意见号</w:t>
            </w:r>
            <w:r>
              <w:rPr>
                <w:rFonts w:ascii="Times New Roman" w:hAnsi="Times New Roman"/>
                <w:szCs w:val="21"/>
              </w:rPr>
              <w:t xml:space="preserve">                         </w:t>
            </w:r>
          </w:p>
        </w:tc>
        <w:tc>
          <w:tcPr>
            <w:tcW w:w="3444" w:type="pct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1783C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01EA7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555" w:type="pct"/>
            <w:tcBorders>
              <w:tl2br w:val="nil"/>
              <w:tr2bl w:val="nil"/>
            </w:tcBorders>
            <w:shd w:val="clear" w:color="auto" w:fill="auto"/>
          </w:tcPr>
          <w:p w14:paraId="42A6881A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报告类型</w:t>
            </w:r>
          </w:p>
        </w:tc>
        <w:tc>
          <w:tcPr>
            <w:tcW w:w="3444" w:type="pct"/>
            <w:gridSpan w:val="5"/>
            <w:tcBorders>
              <w:tl2br w:val="nil"/>
              <w:tr2bl w:val="nil"/>
            </w:tcBorders>
            <w:shd w:val="clear" w:color="auto" w:fill="auto"/>
          </w:tcPr>
          <w:p w14:paraId="168C2168">
            <w:pPr>
              <w:tabs>
                <w:tab w:val="left" w:pos="328"/>
              </w:tabs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首次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hint="eastAsia"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随访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hint="eastAsia"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总结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其他</w:t>
            </w:r>
            <w:r>
              <w:rPr>
                <w:rFonts w:ascii="Times New Roman" w:hAnsi="Times New Roman" w:cstheme="minorEastAsia"/>
                <w:szCs w:val="21"/>
              </w:rPr>
              <w:t>________</w:t>
            </w:r>
          </w:p>
        </w:tc>
      </w:tr>
      <w:tr w14:paraId="3BBB7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55" w:type="pct"/>
            <w:tcBorders>
              <w:tl2br w:val="nil"/>
              <w:tr2bl w:val="nil"/>
            </w:tcBorders>
            <w:shd w:val="clear" w:color="auto" w:fill="auto"/>
          </w:tcPr>
          <w:p w14:paraId="24BF7540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项目</w:t>
            </w:r>
            <w:r>
              <w:rPr>
                <w:rFonts w:hint="eastAsia" w:ascii="Times New Roman" w:hAnsi="Times New Roman"/>
                <w:szCs w:val="21"/>
              </w:rPr>
              <w:t>名称</w:t>
            </w:r>
          </w:p>
        </w:tc>
        <w:tc>
          <w:tcPr>
            <w:tcW w:w="3444" w:type="pct"/>
            <w:gridSpan w:val="5"/>
            <w:tcBorders>
              <w:tl2br w:val="nil"/>
              <w:tr2bl w:val="nil"/>
            </w:tcBorders>
            <w:shd w:val="clear" w:color="auto" w:fill="auto"/>
          </w:tcPr>
          <w:p w14:paraId="2F9AAE57">
            <w:pPr>
              <w:tabs>
                <w:tab w:val="left" w:pos="328"/>
              </w:tabs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20C75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555" w:type="pct"/>
            <w:tcBorders>
              <w:tl2br w:val="nil"/>
              <w:tr2bl w:val="nil"/>
            </w:tcBorders>
            <w:shd w:val="clear" w:color="auto" w:fill="auto"/>
          </w:tcPr>
          <w:p w14:paraId="565E745F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研究方案编号</w:t>
            </w:r>
          </w:p>
        </w:tc>
        <w:tc>
          <w:tcPr>
            <w:tcW w:w="3444" w:type="pct"/>
            <w:gridSpan w:val="5"/>
            <w:tcBorders>
              <w:tl2br w:val="nil"/>
              <w:tr2bl w:val="nil"/>
            </w:tcBorders>
            <w:shd w:val="clear" w:color="auto" w:fill="auto"/>
          </w:tcPr>
          <w:p w14:paraId="32B5468C">
            <w:pPr>
              <w:tabs>
                <w:tab w:val="left" w:pos="328"/>
              </w:tabs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3F4C4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55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1D9A3C">
            <w:pPr>
              <w:tabs>
                <w:tab w:val="left" w:pos="2193"/>
              </w:tabs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临床试验分期</w:t>
            </w:r>
          </w:p>
        </w:tc>
        <w:tc>
          <w:tcPr>
            <w:tcW w:w="3444" w:type="pct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BB6849">
            <w:pPr>
              <w:tabs>
                <w:tab w:val="left" w:pos="2193"/>
              </w:tabs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 xml:space="preserve">□Ⅰ期 □Ⅱ期 □Ⅲ期 □Ⅳ期 □生物等效性试验 </w:t>
            </w:r>
          </w:p>
        </w:tc>
      </w:tr>
      <w:tr w14:paraId="680FA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5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34B48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申办者名称</w:t>
            </w:r>
          </w:p>
        </w:tc>
        <w:tc>
          <w:tcPr>
            <w:tcW w:w="3444" w:type="pct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6EE524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3417B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55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4A80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报告专业</w:t>
            </w:r>
          </w:p>
        </w:tc>
        <w:tc>
          <w:tcPr>
            <w:tcW w:w="1034" w:type="pct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12FB11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9E74D7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主要研究者</w:t>
            </w:r>
          </w:p>
        </w:tc>
        <w:tc>
          <w:tcPr>
            <w:tcW w:w="11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7DE8F4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27341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55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966534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联系人姓名</w:t>
            </w:r>
          </w:p>
        </w:tc>
        <w:tc>
          <w:tcPr>
            <w:tcW w:w="1034" w:type="pct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DBDB02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5954C8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联系电话</w:t>
            </w:r>
          </w:p>
        </w:tc>
        <w:tc>
          <w:tcPr>
            <w:tcW w:w="11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A95D9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28F0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27C34B">
            <w:pPr>
              <w:kinsoku w:val="0"/>
              <w:overflowPunct w:val="0"/>
              <w:spacing w:line="360" w:lineRule="auto"/>
              <w:jc w:val="left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SUSAR</w:t>
            </w:r>
            <w:r>
              <w:rPr>
                <w:rFonts w:hint="eastAsia" w:ascii="Times New Roman" w:hAnsi="Times New Roman"/>
                <w:b/>
                <w:szCs w:val="21"/>
              </w:rPr>
              <w:t>信息</w:t>
            </w:r>
          </w:p>
        </w:tc>
      </w:tr>
      <w:tr w14:paraId="21BF7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86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69E0D5">
            <w:pPr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此次S</w:t>
            </w:r>
            <w:r>
              <w:rPr>
                <w:rFonts w:ascii="Times New Roman" w:hAnsi="Times New Roman"/>
                <w:szCs w:val="21"/>
              </w:rPr>
              <w:t>USAR</w:t>
            </w:r>
            <w:r>
              <w:rPr>
                <w:rFonts w:hint="eastAsia" w:ascii="Times New Roman" w:hAnsi="Times New Roman"/>
                <w:szCs w:val="21"/>
              </w:rPr>
              <w:t>产生日期</w:t>
            </w:r>
          </w:p>
        </w:tc>
        <w:tc>
          <w:tcPr>
            <w:tcW w:w="1002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6EC7C9">
            <w:pPr>
              <w:spacing w:line="276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6F0061">
            <w:pPr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研究者获知日期</w:t>
            </w:r>
          </w:p>
        </w:tc>
        <w:tc>
          <w:tcPr>
            <w:tcW w:w="11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7547F1">
            <w:pPr>
              <w:spacing w:line="276" w:lineRule="auto"/>
              <w:rPr>
                <w:rFonts w:ascii="Times New Roman" w:hAnsi="Times New Roman"/>
                <w:szCs w:val="21"/>
              </w:rPr>
            </w:pPr>
          </w:p>
        </w:tc>
      </w:tr>
      <w:tr w14:paraId="1F2FC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86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6943DE1C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试验参与</w:t>
            </w:r>
            <w:r>
              <w:rPr>
                <w:rFonts w:hint="eastAsia" w:ascii="Times New Roman" w:hAnsi="Times New Roman"/>
                <w:szCs w:val="21"/>
              </w:rPr>
              <w:t>者编号</w:t>
            </w:r>
          </w:p>
        </w:tc>
        <w:tc>
          <w:tcPr>
            <w:tcW w:w="1002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199AF9C3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0" w:type="pct"/>
            <w:tcBorders>
              <w:tl2br w:val="nil"/>
              <w:tr2bl w:val="nil"/>
            </w:tcBorders>
            <w:shd w:val="clear" w:color="auto" w:fill="auto"/>
          </w:tcPr>
          <w:p w14:paraId="4FEE5C1F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试验参与</w:t>
            </w:r>
            <w:r>
              <w:rPr>
                <w:rFonts w:hint="eastAsia" w:ascii="Times New Roman" w:hAnsi="Times New Roman"/>
                <w:szCs w:val="21"/>
              </w:rPr>
              <w:t>者姓名缩写</w:t>
            </w:r>
          </w:p>
        </w:tc>
        <w:tc>
          <w:tcPr>
            <w:tcW w:w="1170" w:type="pct"/>
            <w:tcBorders>
              <w:tl2br w:val="nil"/>
              <w:tr2bl w:val="nil"/>
            </w:tcBorders>
            <w:shd w:val="clear" w:color="auto" w:fill="auto"/>
          </w:tcPr>
          <w:p w14:paraId="5ACF5F1D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746B3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86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26AF740B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出生日期（年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hint="eastAsia" w:ascii="Times New Roman" w:hAnsi="Times New Roman"/>
                <w:szCs w:val="21"/>
              </w:rPr>
              <w:t>月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hint="eastAsia" w:ascii="Times New Roman" w:hAnsi="Times New Roman"/>
                <w:szCs w:val="21"/>
              </w:rPr>
              <w:t>日）</w:t>
            </w:r>
          </w:p>
        </w:tc>
        <w:tc>
          <w:tcPr>
            <w:tcW w:w="1002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68CDBF79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0" w:type="pct"/>
            <w:tcBorders>
              <w:tl2br w:val="nil"/>
              <w:tr2bl w:val="nil"/>
            </w:tcBorders>
            <w:shd w:val="clear" w:color="auto" w:fill="auto"/>
          </w:tcPr>
          <w:p w14:paraId="13801900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年龄</w:t>
            </w:r>
          </w:p>
        </w:tc>
        <w:tc>
          <w:tcPr>
            <w:tcW w:w="1170" w:type="pct"/>
            <w:tcBorders>
              <w:tl2br w:val="nil"/>
              <w:tr2bl w:val="nil"/>
            </w:tcBorders>
            <w:shd w:val="clear" w:color="auto" w:fill="auto"/>
          </w:tcPr>
          <w:p w14:paraId="61BCB842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</w:p>
        </w:tc>
      </w:tr>
      <w:tr w14:paraId="6B4EF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86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27AA712B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性别</w:t>
            </w:r>
          </w:p>
        </w:tc>
        <w:tc>
          <w:tcPr>
            <w:tcW w:w="3413" w:type="pct"/>
            <w:gridSpan w:val="4"/>
            <w:tcBorders>
              <w:tl2br w:val="nil"/>
              <w:tr2bl w:val="nil"/>
            </w:tcBorders>
            <w:shd w:val="clear" w:color="auto" w:fill="auto"/>
          </w:tcPr>
          <w:p w14:paraId="030BED57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</w:p>
        </w:tc>
      </w:tr>
      <w:tr w14:paraId="51DEC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86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64751F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SUSAR</w:t>
            </w:r>
            <w:r>
              <w:rPr>
                <w:rFonts w:hint="eastAsia" w:ascii="Times New Roman" w:hAnsi="Times New Roman"/>
                <w:szCs w:val="21"/>
              </w:rPr>
              <w:t>医学诊断</w:t>
            </w:r>
          </w:p>
        </w:tc>
        <w:tc>
          <w:tcPr>
            <w:tcW w:w="3413" w:type="pct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F554E8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</w:p>
        </w:tc>
      </w:tr>
      <w:tr w14:paraId="0424E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86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717C748F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严重性标准</w:t>
            </w:r>
          </w:p>
        </w:tc>
        <w:tc>
          <w:tcPr>
            <w:tcW w:w="3413" w:type="pct"/>
            <w:gridSpan w:val="4"/>
            <w:tcBorders>
              <w:tl2br w:val="nil"/>
              <w:tr2bl w:val="nil"/>
            </w:tcBorders>
            <w:shd w:val="clear" w:color="auto" w:fill="auto"/>
          </w:tcPr>
          <w:p w14:paraId="1DDBBC7E">
            <w:pPr>
              <w:kinsoku w:val="0"/>
              <w:overflowPunct w:val="0"/>
              <w:spacing w:line="276" w:lineRule="auto"/>
              <w:rPr>
                <w:rFonts w:ascii="Times New Roman" w:hAnsi="Times New Roman" w:cstheme="minorEastAsia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/>
                <w:szCs w:val="21"/>
              </w:rPr>
              <w:t>死亡</w:t>
            </w:r>
            <w:r>
              <w:rPr>
                <w:rFonts w:ascii="Times New Roman" w:hAnsi="Times New Roman"/>
                <w:szCs w:val="21"/>
              </w:rPr>
              <w:t xml:space="preserve">               </w:t>
            </w:r>
            <w:r>
              <w:rPr>
                <w:rFonts w:hint="eastAsia" w:ascii="Times New Roman" w:hAnsi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导致住院或延长住院时间</w:t>
            </w:r>
          </w:p>
          <w:p w14:paraId="439102CF">
            <w:pPr>
              <w:kinsoku w:val="0"/>
              <w:overflowPunct w:val="0"/>
              <w:spacing w:line="276" w:lineRule="auto"/>
              <w:rPr>
                <w:rFonts w:ascii="Times New Roman" w:hAnsi="Times New Roman" w:cstheme="minorEastAsia"/>
                <w:szCs w:val="21"/>
              </w:rPr>
            </w:pPr>
            <w:r>
              <w:rPr>
                <w:rFonts w:hint="eastAsia"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致残或功能丧失</w:t>
            </w:r>
            <w:r>
              <w:rPr>
                <w:rFonts w:ascii="Times New Roman" w:hAnsi="Times New Roman" w:cstheme="minorEastAsia"/>
                <w:szCs w:val="21"/>
              </w:rPr>
              <w:t xml:space="preserve">     </w:t>
            </w:r>
            <w:r>
              <w:rPr>
                <w:rFonts w:hint="eastAsia"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危及生命</w:t>
            </w:r>
          </w:p>
          <w:p w14:paraId="3D5A85F6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致畸</w:t>
            </w:r>
            <w:r>
              <w:rPr>
                <w:rFonts w:ascii="Times New Roman" w:hAnsi="Times New Roman" w:cstheme="minorEastAsia"/>
                <w:szCs w:val="21"/>
              </w:rPr>
              <w:t>/</w:t>
            </w:r>
            <w:r>
              <w:rPr>
                <w:rFonts w:hint="eastAsia" w:ascii="Times New Roman" w:hAnsi="Times New Roman" w:cstheme="minorEastAsia"/>
                <w:szCs w:val="21"/>
              </w:rPr>
              <w:t>致出生缺陷</w:t>
            </w:r>
            <w:r>
              <w:rPr>
                <w:rFonts w:ascii="Times New Roman" w:hAnsi="Times New Roman" w:cstheme="minorEastAsia"/>
                <w:szCs w:val="21"/>
              </w:rPr>
              <w:t xml:space="preserve">    </w:t>
            </w:r>
            <w:r>
              <w:rPr>
                <w:rFonts w:hint="eastAsia"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其他重要医学事件</w:t>
            </w:r>
          </w:p>
        </w:tc>
      </w:tr>
      <w:tr w14:paraId="5FC0C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86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430D61CE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对试验用药采取的措施</w:t>
            </w:r>
          </w:p>
        </w:tc>
        <w:tc>
          <w:tcPr>
            <w:tcW w:w="3413" w:type="pct"/>
            <w:gridSpan w:val="4"/>
            <w:tcBorders>
              <w:tl2br w:val="nil"/>
              <w:tr2bl w:val="nil"/>
            </w:tcBorders>
            <w:shd w:val="clear" w:color="auto" w:fill="auto"/>
          </w:tcPr>
          <w:p w14:paraId="31F39FFB">
            <w:pPr>
              <w:widowControl/>
              <w:spacing w:before="100" w:after="100" w:line="276" w:lineRule="auto"/>
              <w:rPr>
                <w:rFonts w:ascii="Times New Roman" w:hAnsi="Times New Roman" w:cstheme="minorHAnsi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/>
                <w:szCs w:val="21"/>
              </w:rPr>
              <w:t>继续用药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/>
                <w:szCs w:val="21"/>
              </w:rPr>
              <w:t>减少剂量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HAnsi"/>
                <w:szCs w:val="21"/>
              </w:rPr>
              <w:t>停用药物</w:t>
            </w:r>
            <w:r>
              <w:rPr>
                <w:rFonts w:ascii="Times New Roman" w:hAnsi="Times New Roman" w:cstheme="minorHAnsi"/>
                <w:szCs w:val="21"/>
              </w:rPr>
              <w:t xml:space="preserve"> </w:t>
            </w:r>
          </w:p>
          <w:p w14:paraId="683828C9">
            <w:pPr>
              <w:widowControl/>
              <w:spacing w:before="100" w:after="100" w:line="276" w:lineRule="auto"/>
              <w:rPr>
                <w:rFonts w:ascii="Times New Roman" w:hAnsi="Times New Roman" w:cstheme="minorHAnsi"/>
                <w:szCs w:val="21"/>
              </w:rPr>
            </w:pPr>
            <w:r>
              <w:rPr>
                <w:rFonts w:ascii="Times New Roman" w:hAnsi="Times New Roman" w:cstheme="minorHAnsi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HAnsi"/>
                <w:szCs w:val="21"/>
              </w:rPr>
              <w:t>暂停用药</w:t>
            </w:r>
            <w:r>
              <w:rPr>
                <w:rFonts w:ascii="Times New Roman" w:hAnsi="Times New Roman" w:cstheme="minorHAnsi"/>
                <w:szCs w:val="21"/>
              </w:rPr>
              <w:t xml:space="preserve"> </w:t>
            </w:r>
            <w:r>
              <w:rPr>
                <w:rFonts w:ascii="Times New Roman" w:hAnsi="Times New Roman" w:cstheme="minorHAnsi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HAnsi"/>
                <w:szCs w:val="21"/>
              </w:rPr>
              <w:t>药物暂停后又恢复</w:t>
            </w:r>
          </w:p>
          <w:p w14:paraId="260BA2B9">
            <w:pPr>
              <w:widowControl/>
              <w:spacing w:before="100" w:after="100"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theme="minorHAnsi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增加剂量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不适用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不详</w:t>
            </w:r>
          </w:p>
        </w:tc>
      </w:tr>
      <w:tr w14:paraId="79C6C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86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6F0657BC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SUSAR</w:t>
            </w:r>
            <w:r>
              <w:rPr>
                <w:rFonts w:hint="eastAsia" w:ascii="Times New Roman" w:hAnsi="Times New Roman"/>
                <w:szCs w:val="21"/>
              </w:rPr>
              <w:t>转归</w:t>
            </w:r>
          </w:p>
        </w:tc>
        <w:tc>
          <w:tcPr>
            <w:tcW w:w="3413" w:type="pct"/>
            <w:gridSpan w:val="4"/>
            <w:tcBorders>
              <w:tl2br w:val="nil"/>
              <w:tr2bl w:val="nil"/>
            </w:tcBorders>
            <w:shd w:val="clear" w:color="auto" w:fill="auto"/>
          </w:tcPr>
          <w:p w14:paraId="78D89C24">
            <w:pPr>
              <w:kinsoku w:val="0"/>
              <w:overflowPunct w:val="0"/>
              <w:spacing w:line="276" w:lineRule="auto"/>
              <w:rPr>
                <w:rFonts w:ascii="Times New Roman" w:hAnsi="Times New Roman" w:cstheme="minorEastAsia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痊愈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好转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hint="eastAsia" w:ascii="Times New Roman" w:hAnsi="Times New Roman" w:cstheme="minorEastAsia"/>
                <w:szCs w:val="21"/>
              </w:rPr>
              <w:t>未好转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死亡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</w:p>
          <w:p w14:paraId="4E822D13">
            <w:pPr>
              <w:kinsoku w:val="0"/>
              <w:overflowPunct w:val="0"/>
              <w:spacing w:line="276" w:lineRule="auto"/>
              <w:rPr>
                <w:rFonts w:ascii="Times New Roman" w:hAnsi="Times New Roman" w:eastAsia="楷体"/>
                <w:szCs w:val="21"/>
              </w:rPr>
            </w:pPr>
            <w:r>
              <w:rPr>
                <w:rFonts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不详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痊愈伴有后遗症，后遗症表现</w:t>
            </w:r>
            <w:r>
              <w:rPr>
                <w:rFonts w:ascii="Times New Roman" w:hAnsi="Times New Roman" w:cstheme="minorEastAsia"/>
                <w:szCs w:val="21"/>
              </w:rPr>
              <w:t>_________</w:t>
            </w:r>
          </w:p>
        </w:tc>
      </w:tr>
      <w:tr w14:paraId="68F92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81922">
            <w:pPr>
              <w:tabs>
                <w:tab w:val="left" w:pos="2193"/>
              </w:tabs>
              <w:kinsoku w:val="0"/>
              <w:overflowPunct w:val="0"/>
              <w:spacing w:line="360" w:lineRule="auto"/>
              <w:jc w:val="left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可疑药物信息（如有多个药物请复制下表填写）</w:t>
            </w:r>
          </w:p>
        </w:tc>
      </w:tr>
      <w:tr w14:paraId="64CF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</w:tcPr>
          <w:p w14:paraId="7412B90E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药物名称（包括通用名）：</w:t>
            </w:r>
          </w:p>
        </w:tc>
      </w:tr>
      <w:tr w14:paraId="5CB08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2441" w:type="pct"/>
            <w:gridSpan w:val="3"/>
            <w:tcBorders>
              <w:tl2br w:val="nil"/>
              <w:tr2bl w:val="nil"/>
            </w:tcBorders>
            <w:shd w:val="clear" w:color="auto" w:fill="auto"/>
          </w:tcPr>
          <w:p w14:paraId="6D496CCC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每日剂量：</w:t>
            </w:r>
          </w:p>
        </w:tc>
        <w:tc>
          <w:tcPr>
            <w:tcW w:w="2558" w:type="pct"/>
            <w:gridSpan w:val="3"/>
            <w:tcBorders>
              <w:tl2br w:val="nil"/>
              <w:tr2bl w:val="nil"/>
            </w:tcBorders>
            <w:shd w:val="clear" w:color="auto" w:fill="auto"/>
          </w:tcPr>
          <w:p w14:paraId="6C818723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给药途径：</w:t>
            </w:r>
          </w:p>
        </w:tc>
      </w:tr>
      <w:tr w14:paraId="5989D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2441" w:type="pct"/>
            <w:gridSpan w:val="3"/>
            <w:shd w:val="clear" w:color="auto" w:fill="auto"/>
          </w:tcPr>
          <w:p w14:paraId="69E34B56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治疗开始日期：</w:t>
            </w:r>
          </w:p>
        </w:tc>
        <w:tc>
          <w:tcPr>
            <w:tcW w:w="2558" w:type="pct"/>
            <w:gridSpan w:val="3"/>
            <w:shd w:val="clear" w:color="auto" w:fill="auto"/>
          </w:tcPr>
          <w:p w14:paraId="6DD58EF6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治疗结束日期：</w:t>
            </w:r>
          </w:p>
        </w:tc>
      </w:tr>
      <w:tr w14:paraId="162AF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441" w:type="pct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5DDA9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停用可疑药物后反应是否减轻？</w:t>
            </w:r>
          </w:p>
        </w:tc>
        <w:tc>
          <w:tcPr>
            <w:tcW w:w="2558" w:type="pct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C9EEF4">
            <w:pPr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/>
                <w:szCs w:val="21"/>
              </w:rPr>
              <w:t>是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HAnsi"/>
                <w:szCs w:val="21"/>
              </w:rPr>
              <w:t>否</w:t>
            </w:r>
            <w:r>
              <w:rPr>
                <w:rFonts w:ascii="Times New Roman" w:hAnsi="Times New Roman" w:cstheme="minorHAnsi"/>
                <w:szCs w:val="21"/>
              </w:rPr>
              <w:t xml:space="preserve"> </w:t>
            </w:r>
            <w:r>
              <w:rPr>
                <w:rFonts w:ascii="Times New Roman" w:hAnsi="Times New Roman" w:cstheme="minorHAnsi"/>
                <w:szCs w:val="21"/>
              </w:rPr>
              <w:sym w:font="Wingdings 2" w:char="00A3"/>
            </w:r>
            <w:r>
              <w:rPr>
                <w:rFonts w:ascii="Times New Roman" w:hAnsi="Times New Roman" w:cstheme="minorEastAsia"/>
                <w:szCs w:val="21"/>
              </w:rPr>
              <w:t>NA</w:t>
            </w:r>
            <w:r>
              <w:rPr>
                <w:rFonts w:ascii="Times New Roman" w:hAnsi="Times New Roman" w:cstheme="minorHAnsi"/>
                <w:szCs w:val="21"/>
              </w:rPr>
              <w:t xml:space="preserve"> </w:t>
            </w:r>
            <w:r>
              <w:rPr>
                <w:rFonts w:ascii="Times New Roman" w:hAnsi="Times New Roman" w:cstheme="minorHAnsi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HAnsi"/>
                <w:szCs w:val="21"/>
              </w:rPr>
              <w:t>不适用</w:t>
            </w:r>
          </w:p>
        </w:tc>
      </w:tr>
      <w:tr w14:paraId="629B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441" w:type="pct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64A8B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再次使用可疑药物后反应是否再次出现？</w:t>
            </w:r>
          </w:p>
        </w:tc>
        <w:tc>
          <w:tcPr>
            <w:tcW w:w="2558" w:type="pct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3ECA09">
            <w:pPr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是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否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ascii="Times New Roman" w:hAnsi="Times New Roman" w:cstheme="minorEastAsia"/>
                <w:szCs w:val="21"/>
              </w:rPr>
              <w:t xml:space="preserve">NA </w:t>
            </w:r>
            <w:r>
              <w:rPr>
                <w:rFonts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不适用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</w:p>
        </w:tc>
      </w:tr>
      <w:tr w14:paraId="21810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01E144">
            <w:pPr>
              <w:kinsoku w:val="0"/>
              <w:overflowPunct w:val="0"/>
              <w:spacing w:line="360" w:lineRule="auto"/>
              <w:jc w:val="left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  <w:lang w:val="en-US" w:eastAsia="zh-CN"/>
              </w:rPr>
              <w:t>试验参与</w:t>
            </w:r>
            <w:r>
              <w:rPr>
                <w:rFonts w:hint="eastAsia" w:ascii="Times New Roman" w:hAnsi="Times New Roman"/>
                <w:b/>
                <w:szCs w:val="21"/>
              </w:rPr>
              <w:t>者既往合并用药史</w:t>
            </w:r>
          </w:p>
        </w:tc>
      </w:tr>
      <w:tr w14:paraId="33DBC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</w:tcPr>
          <w:p w14:paraId="6EEE0B83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试验参与者</w:t>
            </w:r>
            <w:r>
              <w:rPr>
                <w:rFonts w:hint="eastAsia" w:ascii="Times New Roman" w:hAnsi="Times New Roman"/>
                <w:szCs w:val="21"/>
              </w:rPr>
              <w:t>既往合并用药信息（包括用于此次事件的药物）</w:t>
            </w:r>
          </w:p>
        </w:tc>
      </w:tr>
      <w:tr w14:paraId="2CA93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</w:tcPr>
          <w:p w14:paraId="5DA8FD3B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试验参与</w:t>
            </w:r>
            <w:r>
              <w:rPr>
                <w:rFonts w:hint="eastAsia" w:ascii="Times New Roman" w:hAnsi="Times New Roman"/>
                <w:szCs w:val="21"/>
              </w:rPr>
              <w:t>者其他相关史（包括诊断、过敏史、妊娠史）</w:t>
            </w:r>
          </w:p>
        </w:tc>
      </w:tr>
      <w:tr w14:paraId="11686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</w:tcPr>
          <w:p w14:paraId="271F4D7D">
            <w:pPr>
              <w:kinsoku w:val="0"/>
              <w:overflowPunct w:val="0"/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SUSAR</w:t>
            </w:r>
            <w:r>
              <w:rPr>
                <w:rFonts w:hint="eastAsia" w:ascii="Times New Roman" w:hAnsi="Times New Roman"/>
                <w:b/>
                <w:szCs w:val="21"/>
              </w:rPr>
              <w:t>描述（包括相关实验室检查结果）及申办者评述</w:t>
            </w:r>
          </w:p>
        </w:tc>
      </w:tr>
      <w:tr w14:paraId="27270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5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</w:tcPr>
          <w:p w14:paraId="40F58C03">
            <w:pPr>
              <w:tabs>
                <w:tab w:val="left" w:pos="328"/>
              </w:tabs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40820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</w:tcPr>
          <w:p w14:paraId="793D46FB">
            <w:pPr>
              <w:kinsoku w:val="0"/>
              <w:overflowPunct w:val="0"/>
              <w:spacing w:line="360" w:lineRule="auto"/>
              <w:jc w:val="left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签字</w:t>
            </w:r>
          </w:p>
        </w:tc>
      </w:tr>
      <w:tr w14:paraId="5115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</w:tcPr>
          <w:p w14:paraId="646BD42F">
            <w:pPr>
              <w:kinsoku w:val="0"/>
              <w:overflowPunct w:val="0"/>
              <w:spacing w:line="360" w:lineRule="auto"/>
              <w:jc w:val="left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研究者签名</w:t>
            </w:r>
            <w:r>
              <w:rPr>
                <w:rFonts w:hint="eastAsia" w:ascii="Times New Roman" w:hAnsi="Times New Roman"/>
                <w:b/>
                <w:szCs w:val="21"/>
              </w:rPr>
              <w:t>：</w:t>
            </w:r>
            <w:r>
              <w:rPr>
                <w:rFonts w:ascii="Times New Roman" w:hAnsi="Times New Roman"/>
                <w:b/>
                <w:szCs w:val="21"/>
              </w:rPr>
              <w:t xml:space="preserve">                              日期</w:t>
            </w:r>
            <w:r>
              <w:rPr>
                <w:rFonts w:hint="eastAsia" w:ascii="Times New Roman" w:hAnsi="Times New Roman"/>
                <w:b/>
                <w:szCs w:val="21"/>
              </w:rPr>
              <w:t>：</w:t>
            </w:r>
          </w:p>
        </w:tc>
      </w:tr>
    </w:tbl>
    <w:p w14:paraId="3406C5E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E016C">
    <w:pPr>
      <w:pStyle w:val="5"/>
      <w:pBdr>
        <w:bottom w:val="single" w:color="auto" w:sz="4" w:space="1"/>
      </w:pBdr>
      <w:rPr>
        <w:rFonts w:hint="default" w:eastAsiaTheme="minorEastAsia"/>
        <w:sz w:val="24"/>
        <w:szCs w:val="40"/>
        <w:lang w:val="en-US" w:eastAsia="zh-CN"/>
      </w:rPr>
    </w:pPr>
    <w:r>
      <w:rPr>
        <w:rFonts w:hint="eastAsia"/>
        <w:sz w:val="24"/>
        <w:szCs w:val="40"/>
        <w:lang w:val="en-US" w:eastAsia="zh-CN"/>
      </w:rPr>
      <w:t>云南大学附属医院临床试验伦理审查委员会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BDF6514"/>
    <w:rsid w:val="00035990"/>
    <w:rsid w:val="00070919"/>
    <w:rsid w:val="000E0EB3"/>
    <w:rsid w:val="00152F68"/>
    <w:rsid w:val="001B0F84"/>
    <w:rsid w:val="001F65B5"/>
    <w:rsid w:val="002F68A0"/>
    <w:rsid w:val="00304D93"/>
    <w:rsid w:val="00395C3E"/>
    <w:rsid w:val="00460FD2"/>
    <w:rsid w:val="004A702A"/>
    <w:rsid w:val="004B2D78"/>
    <w:rsid w:val="004F1074"/>
    <w:rsid w:val="005669C3"/>
    <w:rsid w:val="00647A73"/>
    <w:rsid w:val="00676C4B"/>
    <w:rsid w:val="006C593B"/>
    <w:rsid w:val="006D6071"/>
    <w:rsid w:val="00701E13"/>
    <w:rsid w:val="007113DE"/>
    <w:rsid w:val="00750AB0"/>
    <w:rsid w:val="00776A25"/>
    <w:rsid w:val="007F0322"/>
    <w:rsid w:val="008206E1"/>
    <w:rsid w:val="00885DBF"/>
    <w:rsid w:val="008B4A47"/>
    <w:rsid w:val="00902A08"/>
    <w:rsid w:val="00926CCC"/>
    <w:rsid w:val="009B3632"/>
    <w:rsid w:val="00A2697B"/>
    <w:rsid w:val="00A642AD"/>
    <w:rsid w:val="00A86A89"/>
    <w:rsid w:val="00B52CAF"/>
    <w:rsid w:val="00B568BF"/>
    <w:rsid w:val="00C41A4A"/>
    <w:rsid w:val="00C71886"/>
    <w:rsid w:val="00D15F8A"/>
    <w:rsid w:val="00D91B62"/>
    <w:rsid w:val="00D96E69"/>
    <w:rsid w:val="00DA2C00"/>
    <w:rsid w:val="00DC2FE1"/>
    <w:rsid w:val="00DF13A9"/>
    <w:rsid w:val="00E944E9"/>
    <w:rsid w:val="00EA53EA"/>
    <w:rsid w:val="00EA5773"/>
    <w:rsid w:val="00EC49A2"/>
    <w:rsid w:val="00F45A79"/>
    <w:rsid w:val="00FA50A2"/>
    <w:rsid w:val="08C12137"/>
    <w:rsid w:val="11C63DC9"/>
    <w:rsid w:val="13FF6518"/>
    <w:rsid w:val="1F5B690E"/>
    <w:rsid w:val="258515BA"/>
    <w:rsid w:val="2EDBBCC1"/>
    <w:rsid w:val="2FFF3258"/>
    <w:rsid w:val="34EE6021"/>
    <w:rsid w:val="3750A680"/>
    <w:rsid w:val="3945151C"/>
    <w:rsid w:val="3BDF6514"/>
    <w:rsid w:val="3F5F7FA4"/>
    <w:rsid w:val="447D9AB5"/>
    <w:rsid w:val="49FF094B"/>
    <w:rsid w:val="57BE280C"/>
    <w:rsid w:val="59DFC96E"/>
    <w:rsid w:val="5EAF161F"/>
    <w:rsid w:val="5F1F2E37"/>
    <w:rsid w:val="5FBAD687"/>
    <w:rsid w:val="6D7E7565"/>
    <w:rsid w:val="6DFF00D8"/>
    <w:rsid w:val="6E7E76F2"/>
    <w:rsid w:val="6EEEF76C"/>
    <w:rsid w:val="72DD3165"/>
    <w:rsid w:val="73973CDB"/>
    <w:rsid w:val="76B760D4"/>
    <w:rsid w:val="776F575E"/>
    <w:rsid w:val="79EDA258"/>
    <w:rsid w:val="7A4F672E"/>
    <w:rsid w:val="7B7F8AC4"/>
    <w:rsid w:val="7BEF093C"/>
    <w:rsid w:val="7BFB157B"/>
    <w:rsid w:val="7BFC15C9"/>
    <w:rsid w:val="7D5E9B05"/>
    <w:rsid w:val="7DC79425"/>
    <w:rsid w:val="7DD4FEEC"/>
    <w:rsid w:val="7DDF3245"/>
    <w:rsid w:val="7EDF3897"/>
    <w:rsid w:val="7F7645E7"/>
    <w:rsid w:val="7FBF6E87"/>
    <w:rsid w:val="92FF1425"/>
    <w:rsid w:val="97BDB307"/>
    <w:rsid w:val="98B7EBBC"/>
    <w:rsid w:val="A60ED545"/>
    <w:rsid w:val="AFEF559C"/>
    <w:rsid w:val="B3FEC376"/>
    <w:rsid w:val="B5DF7224"/>
    <w:rsid w:val="B7DBF089"/>
    <w:rsid w:val="BAAFC353"/>
    <w:rsid w:val="BB9FCD3E"/>
    <w:rsid w:val="BDFACC0D"/>
    <w:rsid w:val="CDE3B9DE"/>
    <w:rsid w:val="D497C566"/>
    <w:rsid w:val="D5FF6D5C"/>
    <w:rsid w:val="D9FF48BA"/>
    <w:rsid w:val="DD76C5D3"/>
    <w:rsid w:val="DFCF3D4A"/>
    <w:rsid w:val="DFDFCAAF"/>
    <w:rsid w:val="EF654F4E"/>
    <w:rsid w:val="EFDDD7E4"/>
    <w:rsid w:val="EFEFD7F8"/>
    <w:rsid w:val="EFFBCBCC"/>
    <w:rsid w:val="F2FF4341"/>
    <w:rsid w:val="F6DBBF3B"/>
    <w:rsid w:val="F6DDB85B"/>
    <w:rsid w:val="F7639B40"/>
    <w:rsid w:val="F77628CD"/>
    <w:rsid w:val="F7BA148E"/>
    <w:rsid w:val="F8DBA726"/>
    <w:rsid w:val="FBFF9CAF"/>
    <w:rsid w:val="FC370B24"/>
    <w:rsid w:val="FE33D5CD"/>
    <w:rsid w:val="FEB714DD"/>
    <w:rsid w:val="FEFFE53E"/>
    <w:rsid w:val="FF7D2859"/>
    <w:rsid w:val="FFDF1EDE"/>
    <w:rsid w:val="FFDF97FF"/>
    <w:rsid w:val="FFFEA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basedOn w:val="8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504</Words>
  <Characters>560</Characters>
  <Lines>5</Lines>
  <Paragraphs>1</Paragraphs>
  <TotalTime>0</TotalTime>
  <ScaleCrop>false</ScaleCrop>
  <LinksUpToDate>false</LinksUpToDate>
  <CharactersWithSpaces>669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2021-02-12T01:28:00Z</dcterms:created>
  <dc:creator>apple</dc:creator>
  <cp:lastModifiedBy>qjl</cp:lastModifiedBy>
  <cp:lastPrinted>2023-12-07T08:00:00Z</cp:lastPrinted>
  <dcterms:modified xsi:type="dcterms:W3CDTF">2026-09-03T10:53:51Z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eyJoZGlkIjoiYjgwYTZjYzEyNWY0ZDZhYTg5ZDlmMGEwNGE1NmRiODMiLCJ1c2VySWQiOiI2NDcxNTgxMjMifQ==</vt:lpwstr>
  </property>
  <property fmtid="{D5CDD505-2E9C-101B-9397-08002B2CF9AE}" pid="4" name="ICV">
    <vt:lpwstr>5DE8831414644DF28F9DE6DAA278B19F_12</vt:lpwstr>
  </property>
</Properties>
</file>